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Figure 1: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85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203"/>
        <w:gridCol w:w="1317"/>
        <w:gridCol w:w="1203"/>
        <w:gridCol w:w="1202"/>
        <w:gridCol w:w="1203"/>
        <w:gridCol w:w="1356"/>
        <w:gridCol w:w="1080"/>
      </w:tblGrid>
      <w:tr>
        <w:tblPrEx>
          <w:shd w:val="clear" w:color="auto" w:fill="ceddeb"/>
        </w:tblPrEx>
        <w:trPr>
          <w:trHeight w:val="851" w:hRule="atLeast"/>
        </w:trPr>
        <w:tc>
          <w:tcPr>
            <w:tcW w:type="dxa" w:w="120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Speaker</w:t>
            </w:r>
          </w:p>
        </w:tc>
        <w:tc>
          <w:tcPr>
            <w:tcW w:type="dxa" w:w="131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Printed characters</w:t>
            </w:r>
          </w:p>
        </w:tc>
        <w:tc>
          <w:tcPr>
            <w:tcW w:type="dxa" w:w="120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Printed words</w:t>
            </w:r>
          </w:p>
        </w:tc>
        <w:tc>
          <w:tcPr>
            <w:tcW w:type="dxa" w:w="12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Brackets</w:t>
            </w:r>
          </w:p>
        </w:tc>
        <w:tc>
          <w:tcPr>
            <w:tcW w:type="dxa" w:w="120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Commas</w:t>
            </w:r>
          </w:p>
        </w:tc>
        <w:tc>
          <w:tcPr>
            <w:tcW w:type="dxa" w:w="135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Characters per comma</w:t>
            </w:r>
          </w:p>
        </w:tc>
        <w:tc>
          <w:tcPr>
            <w:tcW w:type="dxa" w:w="108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Words per comma</w:t>
            </w:r>
          </w:p>
        </w:tc>
      </w:tr>
      <w:tr>
        <w:tblPrEx>
          <w:shd w:val="clear" w:color="auto" w:fill="ceddeb"/>
        </w:tblPrEx>
        <w:trPr>
          <w:trHeight w:val="290" w:hRule="atLeast"/>
        </w:trPr>
        <w:tc>
          <w:tcPr>
            <w:tcW w:type="dxa" w:w="120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sz w:val="22"/>
                <w:szCs w:val="22"/>
                <w:rtl w:val="0"/>
                <w:lang w:val="en-US"/>
              </w:rPr>
              <w:t>Tiberius</w:t>
            </w:r>
          </w:p>
        </w:tc>
        <w:tc>
          <w:tcPr>
            <w:tcW w:type="dxa" w:w="131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sz w:val="22"/>
                <w:szCs w:val="22"/>
                <w:rtl w:val="0"/>
                <w:lang w:val="en-US"/>
              </w:rPr>
              <w:t>1053</w:t>
            </w:r>
          </w:p>
        </w:tc>
        <w:tc>
          <w:tcPr>
            <w:tcW w:type="dxa" w:w="120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sz w:val="22"/>
                <w:szCs w:val="22"/>
                <w:rtl w:val="0"/>
                <w:lang w:val="en-US"/>
              </w:rPr>
              <w:t>303</w:t>
            </w:r>
          </w:p>
        </w:tc>
        <w:tc>
          <w:tcPr>
            <w:tcW w:type="dxa" w:w="12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sz w:val="22"/>
                <w:szCs w:val="22"/>
                <w:rtl w:val="0"/>
                <w:lang w:val="en-US"/>
              </w:rPr>
              <w:t>0</w:t>
            </w:r>
          </w:p>
        </w:tc>
        <w:tc>
          <w:tcPr>
            <w:tcW w:type="dxa" w:w="120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sz w:val="22"/>
                <w:szCs w:val="22"/>
                <w:rtl w:val="0"/>
                <w:lang w:val="en-US"/>
              </w:rPr>
              <w:t>45</w:t>
            </w:r>
          </w:p>
        </w:tc>
        <w:tc>
          <w:tcPr>
            <w:tcW w:type="dxa" w:w="135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sz w:val="22"/>
                <w:szCs w:val="22"/>
                <w:rtl w:val="0"/>
                <w:lang w:val="en-US"/>
              </w:rPr>
              <w:t>23.4</w:t>
            </w:r>
          </w:p>
        </w:tc>
        <w:tc>
          <w:tcPr>
            <w:tcW w:type="dxa" w:w="108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sz w:val="22"/>
                <w:szCs w:val="22"/>
                <w:rtl w:val="0"/>
                <w:lang w:val="en-US"/>
              </w:rPr>
              <w:t>6.73</w:t>
            </w:r>
          </w:p>
        </w:tc>
      </w:tr>
      <w:tr>
        <w:tblPrEx>
          <w:shd w:val="clear" w:color="auto" w:fill="ceddeb"/>
        </w:tblPrEx>
        <w:trPr>
          <w:trHeight w:val="290" w:hRule="atLeast"/>
        </w:trPr>
        <w:tc>
          <w:tcPr>
            <w:tcW w:type="dxa" w:w="120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sz w:val="22"/>
                <w:szCs w:val="22"/>
                <w:rtl w:val="0"/>
                <w:lang w:val="en-US"/>
              </w:rPr>
              <w:t>Sejanus</w:t>
            </w:r>
          </w:p>
        </w:tc>
        <w:tc>
          <w:tcPr>
            <w:tcW w:type="dxa" w:w="131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sz w:val="22"/>
                <w:szCs w:val="22"/>
                <w:rtl w:val="0"/>
                <w:lang w:val="en-US"/>
              </w:rPr>
              <w:t>6651</w:t>
            </w:r>
          </w:p>
        </w:tc>
        <w:tc>
          <w:tcPr>
            <w:tcW w:type="dxa" w:w="120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sz w:val="22"/>
                <w:szCs w:val="22"/>
                <w:rtl w:val="0"/>
                <w:lang w:val="en-US"/>
              </w:rPr>
              <w:t>2017</w:t>
            </w:r>
          </w:p>
        </w:tc>
        <w:tc>
          <w:tcPr>
            <w:tcW w:type="dxa" w:w="12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sz w:val="22"/>
                <w:szCs w:val="22"/>
                <w:rtl w:val="0"/>
                <w:lang w:val="en-US"/>
              </w:rPr>
              <w:t>6</w:t>
            </w:r>
          </w:p>
        </w:tc>
        <w:tc>
          <w:tcPr>
            <w:tcW w:type="dxa" w:w="120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sz w:val="22"/>
                <w:szCs w:val="22"/>
                <w:rtl w:val="0"/>
                <w:lang w:val="en-US"/>
              </w:rPr>
              <w:t>129</w:t>
            </w:r>
          </w:p>
        </w:tc>
        <w:tc>
          <w:tcPr>
            <w:tcW w:type="dxa" w:w="135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sz w:val="22"/>
                <w:szCs w:val="22"/>
                <w:rtl w:val="0"/>
                <w:lang w:val="en-US"/>
              </w:rPr>
              <w:t>51.56</w:t>
            </w:r>
          </w:p>
        </w:tc>
        <w:tc>
          <w:tcPr>
            <w:tcW w:type="dxa" w:w="108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sz w:val="22"/>
                <w:szCs w:val="22"/>
                <w:rtl w:val="0"/>
                <w:lang w:val="en-US"/>
              </w:rPr>
              <w:t>15.64</w:t>
            </w:r>
          </w:p>
        </w:tc>
      </w:tr>
    </w:tbl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widowControl w:val="0"/>
        <w:suppressAutoHyphens w:val="1"/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 A"/>
        <w:widowControl w:val="0"/>
        <w:suppressAutoHyphens w:val="1"/>
        <w:spacing w:line="48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widowControl w:val="0"/>
        <w:suppressAutoHyphens w:val="1"/>
        <w:spacing w:line="480" w:lineRule="auto"/>
        <w:jc w:val="center"/>
      </w:pPr>
      <w:r>
        <w:rPr>
          <w:rFonts w:ascii="Times New Roman" w:cs="Times New Roman" w:hAnsi="Times New Roman" w:eastAsia="Times New Roman"/>
          <w:smallCaps w:val="1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Table Contents">
    <w:name w:val="Table Contents"/>
    <w:next w:val="Table Contents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